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BCA" w:rsidRDefault="0084445A" w:rsidP="009672AC">
      <w:pPr>
        <w:pStyle w:val="Nadpis1"/>
        <w:spacing w:after="240" w:line="360" w:lineRule="auto"/>
        <w:jc w:val="center"/>
        <w:rPr>
          <w:rFonts w:ascii="Arial" w:hAnsi="Arial" w:cs="Arial"/>
          <w:b/>
          <w:color w:val="000000" w:themeColor="text1"/>
        </w:rPr>
      </w:pPr>
      <w:bookmarkStart w:id="0" w:name="_GoBack"/>
      <w:bookmarkEnd w:id="0"/>
      <w:r>
        <w:rPr>
          <w:rFonts w:ascii="Arial" w:hAnsi="Arial" w:cs="Arial"/>
          <w:b/>
          <w:color w:val="000000" w:themeColor="text1"/>
        </w:rPr>
        <w:t xml:space="preserve">Oborová struktura čerpaných prostředků na </w:t>
      </w:r>
      <w:r w:rsidR="00292AA2" w:rsidRPr="0084445A">
        <w:rPr>
          <w:rFonts w:ascii="Arial" w:hAnsi="Arial" w:cs="Arial"/>
          <w:b/>
          <w:color w:val="000000" w:themeColor="text1"/>
        </w:rPr>
        <w:t>výzkum, vývoj a inovace ze státního rozpočtu</w:t>
      </w:r>
    </w:p>
    <w:p w:rsidR="005D184C" w:rsidRPr="0084445A" w:rsidRDefault="005D184C" w:rsidP="005D184C">
      <w:pPr>
        <w:keepNext/>
        <w:spacing w:before="120" w:after="240" w:line="240" w:lineRule="auto"/>
        <w:jc w:val="both"/>
        <w:rPr>
          <w:rFonts w:ascii="Arial" w:eastAsia="Times New Roman" w:hAnsi="Arial" w:cs="Times New Roman"/>
          <w:b/>
          <w:szCs w:val="24"/>
          <w:lang w:eastAsia="cs-CZ"/>
        </w:rPr>
      </w:pPr>
      <w:r w:rsidRPr="0084445A">
        <w:rPr>
          <w:rFonts w:ascii="Arial" w:eastAsia="Times New Roman" w:hAnsi="Arial" w:cs="Times New Roman"/>
          <w:b/>
          <w:szCs w:val="24"/>
          <w:lang w:eastAsia="cs-CZ"/>
        </w:rPr>
        <w:t xml:space="preserve">Přehled </w:t>
      </w:r>
      <w:r>
        <w:rPr>
          <w:rFonts w:ascii="Arial" w:eastAsia="Times New Roman" w:hAnsi="Arial" w:cs="Times New Roman"/>
          <w:b/>
          <w:szCs w:val="24"/>
          <w:lang w:eastAsia="cs-CZ"/>
        </w:rPr>
        <w:t>rozpočtovaných kategorií podpory ze státního rozpočtu</w:t>
      </w:r>
    </w:p>
    <w:tbl>
      <w:tblPr>
        <w:tblW w:w="499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8"/>
        <w:gridCol w:w="4402"/>
        <w:gridCol w:w="1650"/>
        <w:gridCol w:w="1650"/>
      </w:tblGrid>
      <w:tr w:rsidR="005D184C" w:rsidRPr="00F51AD1" w:rsidTr="00B938AD">
        <w:trPr>
          <w:trHeight w:val="340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33E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Kategorie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33E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84C" w:rsidRPr="00F51AD1" w:rsidRDefault="005D184C" w:rsidP="00B93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Typ podpory d</w:t>
            </w:r>
            <w:r w:rsidRPr="00F51A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le </w:t>
            </w:r>
            <w:proofErr w:type="spellStart"/>
            <w:r w:rsidRPr="00F51A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zk</w:t>
            </w:r>
            <w:proofErr w:type="spellEnd"/>
            <w:r w:rsidRPr="00F51A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.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č. </w:t>
            </w:r>
            <w:r w:rsidRPr="00F51AD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130/2002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Sb.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184C" w:rsidRDefault="005D184C" w:rsidP="00B93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IS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VaVaI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– Sledování oborů</w:t>
            </w:r>
          </w:p>
        </w:tc>
      </w:tr>
      <w:tr w:rsidR="005D184C" w:rsidRPr="00F51AD1" w:rsidTr="00B938AD">
        <w:trPr>
          <w:trHeight w:val="340"/>
        </w:trPr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933E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DK RVO</w:t>
            </w:r>
          </w:p>
        </w:tc>
        <w:tc>
          <w:tcPr>
            <w:tcW w:w="2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933E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dlouhodobý koncepční rozvoj výzkumných organizací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51A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INST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184C" w:rsidRPr="00F51AD1" w:rsidRDefault="005D184C" w:rsidP="00B93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CEA – N/A</w:t>
            </w:r>
          </w:p>
        </w:tc>
      </w:tr>
      <w:tr w:rsidR="005D184C" w:rsidRPr="00F51AD1" w:rsidTr="00B938AD">
        <w:trPr>
          <w:trHeight w:val="340"/>
        </w:trPr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933E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Náklady na činnost</w:t>
            </w:r>
          </w:p>
        </w:tc>
        <w:tc>
          <w:tcPr>
            <w:tcW w:w="2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Pořádání veřejných soutěží, u AV ČR má tato podpora specifickou roli lze ji považovat jako doplněk DK RVO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51A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INST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184C" w:rsidRPr="00F51AD1" w:rsidRDefault="005D184C" w:rsidP="00B93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CEA – N/A</w:t>
            </w:r>
          </w:p>
        </w:tc>
      </w:tr>
      <w:tr w:rsidR="005D184C" w:rsidRPr="00F51AD1" w:rsidTr="00B938AD">
        <w:trPr>
          <w:trHeight w:val="340"/>
        </w:trPr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933E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SVV</w:t>
            </w:r>
          </w:p>
        </w:tc>
        <w:tc>
          <w:tcPr>
            <w:tcW w:w="2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933E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specifický vysokoškolský výzkum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51A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ÚČEL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184C" w:rsidRPr="00F51AD1" w:rsidRDefault="005D184C" w:rsidP="00B93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CEA – N/A</w:t>
            </w:r>
          </w:p>
        </w:tc>
      </w:tr>
      <w:tr w:rsidR="005D184C" w:rsidRPr="00F51AD1" w:rsidTr="00B938AD">
        <w:trPr>
          <w:trHeight w:val="340"/>
        </w:trPr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933E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VVI</w:t>
            </w:r>
          </w:p>
        </w:tc>
        <w:tc>
          <w:tcPr>
            <w:tcW w:w="2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933E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velké výzkumné infrastruktury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51A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ÚČEL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184C" w:rsidRPr="00F51AD1" w:rsidRDefault="005D184C" w:rsidP="00B93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CEP - projekty</w:t>
            </w:r>
          </w:p>
        </w:tc>
      </w:tr>
      <w:tr w:rsidR="005D184C" w:rsidRPr="00F51AD1" w:rsidTr="00B938AD">
        <w:trPr>
          <w:trHeight w:val="340"/>
        </w:trPr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933E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NPU</w:t>
            </w:r>
          </w:p>
        </w:tc>
        <w:tc>
          <w:tcPr>
            <w:tcW w:w="2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933E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národní program udržitelnosti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(NPU I a NPU II)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51A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ÚČEL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184C" w:rsidRPr="00F51AD1" w:rsidRDefault="005D184C" w:rsidP="00B93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CEP - projekty</w:t>
            </w:r>
          </w:p>
        </w:tc>
      </w:tr>
      <w:tr w:rsidR="005D184C" w:rsidRPr="00F51AD1" w:rsidTr="005D184C">
        <w:trPr>
          <w:trHeight w:val="340"/>
        </w:trPr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D184C" w:rsidRPr="00292AA2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cs-CZ"/>
              </w:rPr>
            </w:pPr>
            <w:r w:rsidRPr="00292AA2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cs-CZ"/>
              </w:rPr>
              <w:t>PROJEKTY</w:t>
            </w:r>
          </w:p>
        </w:tc>
        <w:tc>
          <w:tcPr>
            <w:tcW w:w="2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D184C" w:rsidRPr="00292AA2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cs-CZ"/>
              </w:rPr>
            </w:pPr>
            <w:r w:rsidRPr="00292AA2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cs-CZ"/>
              </w:rPr>
              <w:t>čistá účelová podpora (bez VVI a NPU)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D184C" w:rsidRPr="00292AA2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cs-CZ"/>
              </w:rPr>
            </w:pPr>
            <w:r w:rsidRPr="00292AA2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cs-CZ"/>
              </w:rPr>
              <w:t>ÚČEL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184C" w:rsidRPr="00292AA2" w:rsidRDefault="005D184C" w:rsidP="00B93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cs-CZ"/>
              </w:rPr>
            </w:pPr>
            <w:r w:rsidRPr="00292AA2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cs-CZ"/>
              </w:rPr>
              <w:t>CEP - projekty</w:t>
            </w:r>
          </w:p>
        </w:tc>
      </w:tr>
      <w:tr w:rsidR="005D184C" w:rsidRPr="00F51AD1" w:rsidTr="00B938AD">
        <w:trPr>
          <w:trHeight w:val="340"/>
        </w:trPr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933E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KOFIN</w:t>
            </w:r>
          </w:p>
        </w:tc>
        <w:tc>
          <w:tcPr>
            <w:tcW w:w="2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933E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kofinancováníoperačních</w:t>
            </w:r>
            <w:proofErr w:type="spellEnd"/>
            <w:r w:rsidRPr="00933E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programů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84C" w:rsidRPr="00F51AD1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51A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INST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184C" w:rsidRPr="00F51AD1" w:rsidRDefault="005D184C" w:rsidP="00B93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CEP – částečně projekty OP VVV a OP PIK</w:t>
            </w:r>
          </w:p>
        </w:tc>
      </w:tr>
      <w:tr w:rsidR="005D184C" w:rsidRPr="00F51AD1" w:rsidTr="00B938AD">
        <w:trPr>
          <w:trHeight w:val="340"/>
        </w:trPr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933E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MEZINAR</w:t>
            </w:r>
          </w:p>
        </w:tc>
        <w:tc>
          <w:tcPr>
            <w:tcW w:w="2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933E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mezinárodní spolupráce</w:t>
            </w:r>
            <w:r w:rsidRPr="00F51A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ČR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(mezinárodní smlouvy, projekty programů mezinárodní spolupráce ČR)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84C" w:rsidRPr="00933E9B" w:rsidRDefault="005D184C" w:rsidP="00B93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51A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INST/ÚCEL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184C" w:rsidRPr="00F51AD1" w:rsidRDefault="005D184C" w:rsidP="00B938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CEA/CEP – částečně v CEP</w:t>
            </w:r>
          </w:p>
        </w:tc>
      </w:tr>
    </w:tbl>
    <w:p w:rsidR="005D184C" w:rsidRDefault="005D184C" w:rsidP="005D184C">
      <w:pPr>
        <w:keepNext/>
        <w:spacing w:before="120" w:after="240" w:line="240" w:lineRule="auto"/>
        <w:jc w:val="both"/>
        <w:rPr>
          <w:rFonts w:ascii="Arial" w:eastAsia="Times New Roman" w:hAnsi="Arial" w:cs="Times New Roman"/>
          <w:b/>
          <w:szCs w:val="24"/>
          <w:lang w:eastAsia="cs-CZ"/>
        </w:rPr>
      </w:pPr>
      <w:r w:rsidRPr="0084445A">
        <w:rPr>
          <w:rFonts w:ascii="Arial" w:eastAsia="Times New Roman" w:hAnsi="Arial" w:cs="Times New Roman"/>
          <w:b/>
          <w:szCs w:val="24"/>
          <w:lang w:eastAsia="cs-CZ"/>
        </w:rPr>
        <w:t>Zaměření podpory výzkumu, vý</w:t>
      </w:r>
      <w:r>
        <w:rPr>
          <w:rFonts w:ascii="Arial" w:eastAsia="Times New Roman" w:hAnsi="Arial" w:cs="Times New Roman"/>
          <w:b/>
          <w:szCs w:val="24"/>
          <w:lang w:eastAsia="cs-CZ"/>
        </w:rPr>
        <w:t>voje</w:t>
      </w:r>
      <w:r w:rsidRPr="0084445A">
        <w:rPr>
          <w:rFonts w:ascii="Arial" w:eastAsia="Times New Roman" w:hAnsi="Arial" w:cs="Times New Roman"/>
          <w:b/>
          <w:szCs w:val="24"/>
          <w:lang w:eastAsia="cs-CZ"/>
        </w:rPr>
        <w:t xml:space="preserve"> a inovací</w:t>
      </w:r>
      <w:r>
        <w:rPr>
          <w:rFonts w:ascii="Arial" w:eastAsia="Times New Roman" w:hAnsi="Arial" w:cs="Times New Roman"/>
          <w:b/>
          <w:szCs w:val="24"/>
          <w:lang w:eastAsia="cs-CZ"/>
        </w:rPr>
        <w:t>, specifika a limity oborové evidence v IS </w:t>
      </w:r>
      <w:proofErr w:type="spellStart"/>
      <w:r>
        <w:rPr>
          <w:rFonts w:ascii="Arial" w:eastAsia="Times New Roman" w:hAnsi="Arial" w:cs="Times New Roman"/>
          <w:b/>
          <w:szCs w:val="24"/>
          <w:lang w:eastAsia="cs-CZ"/>
        </w:rPr>
        <w:t>VaVaI</w:t>
      </w:r>
      <w:proofErr w:type="spellEnd"/>
    </w:p>
    <w:p w:rsidR="005D184C" w:rsidRPr="000B6531" w:rsidRDefault="005D184C" w:rsidP="005D184C">
      <w:pPr>
        <w:pStyle w:val="Odstavecseseznamem"/>
        <w:numPr>
          <w:ilvl w:val="0"/>
          <w:numId w:val="1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lang w:eastAsia="cs-CZ"/>
        </w:rPr>
      </w:pPr>
      <w:r w:rsidRPr="0084445A">
        <w:rPr>
          <w:rFonts w:ascii="Arial" w:eastAsia="Times New Roman" w:hAnsi="Arial" w:cs="Arial"/>
          <w:lang w:eastAsia="cs-CZ"/>
        </w:rPr>
        <w:t xml:space="preserve">Oborové zaměření veřejné podpory lze z IS </w:t>
      </w:r>
      <w:proofErr w:type="spellStart"/>
      <w:r w:rsidRPr="0084445A">
        <w:rPr>
          <w:rFonts w:ascii="Arial" w:eastAsia="Times New Roman" w:hAnsi="Arial" w:cs="Arial"/>
          <w:lang w:eastAsia="cs-CZ"/>
        </w:rPr>
        <w:t>VaVaI</w:t>
      </w:r>
      <w:proofErr w:type="spellEnd"/>
      <w:r w:rsidRPr="0084445A">
        <w:rPr>
          <w:rFonts w:ascii="Arial" w:eastAsia="Times New Roman" w:hAnsi="Arial" w:cs="Arial"/>
          <w:lang w:eastAsia="cs-CZ"/>
        </w:rPr>
        <w:t xml:space="preserve"> sledovat přímo z </w:t>
      </w:r>
      <w:proofErr w:type="gramStart"/>
      <w:r w:rsidRPr="00621E00">
        <w:rPr>
          <w:rFonts w:ascii="Arial" w:eastAsia="Times New Roman" w:hAnsi="Arial" w:cs="Arial"/>
          <w:b/>
          <w:lang w:eastAsia="cs-CZ"/>
        </w:rPr>
        <w:t>CEP</w:t>
      </w:r>
      <w:proofErr w:type="gramEnd"/>
      <w:r w:rsidRPr="0084445A">
        <w:rPr>
          <w:rFonts w:ascii="Arial" w:eastAsia="Times New Roman" w:hAnsi="Arial" w:cs="Arial"/>
          <w:lang w:eastAsia="cs-CZ"/>
        </w:rPr>
        <w:t xml:space="preserve"> u</w:t>
      </w:r>
      <w:r>
        <w:rPr>
          <w:rFonts w:ascii="Arial" w:eastAsia="Times New Roman" w:hAnsi="Arial" w:cs="Arial"/>
          <w:lang w:eastAsia="cs-CZ"/>
        </w:rPr>
        <w:t> tzv. </w:t>
      </w:r>
      <w:r w:rsidRPr="000B6531">
        <w:rPr>
          <w:rFonts w:ascii="Arial" w:eastAsia="Times New Roman" w:hAnsi="Arial" w:cs="Arial"/>
          <w:lang w:eastAsia="cs-CZ"/>
        </w:rPr>
        <w:t>kategorie PROJEKTY (v roce 2018 to bylo 11,4 mld. Kč), u dalších kategorií podpory není v tuto chvíli možné přímo sledovat zaměření podpory dle oborů (viz více ANA 2018 – Kapitola 2)</w:t>
      </w:r>
    </w:p>
    <w:p w:rsidR="005D184C" w:rsidRPr="000B6531" w:rsidRDefault="005D184C" w:rsidP="005D184C">
      <w:pPr>
        <w:pStyle w:val="Odstavecseseznamem"/>
        <w:numPr>
          <w:ilvl w:val="0"/>
          <w:numId w:val="1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lang w:eastAsia="cs-CZ"/>
        </w:rPr>
      </w:pPr>
      <w:r w:rsidRPr="000B6531">
        <w:rPr>
          <w:rFonts w:ascii="Arial" w:eastAsia="Times New Roman" w:hAnsi="Arial" w:cs="Arial"/>
          <w:lang w:eastAsia="cs-CZ"/>
        </w:rPr>
        <w:t>Problém s přechodem na nový číselník oborů FORD – projekty zahájené po roce 2017 mají číselník FORD, dobíhající projekty mají číselník vycházející z minulé metodiky</w:t>
      </w:r>
    </w:p>
    <w:p w:rsidR="005D184C" w:rsidRPr="000B6531" w:rsidRDefault="005D184C" w:rsidP="005D184C">
      <w:pPr>
        <w:pStyle w:val="Odstavecseseznamem"/>
        <w:numPr>
          <w:ilvl w:val="0"/>
          <w:numId w:val="1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lang w:eastAsia="cs-CZ"/>
        </w:rPr>
      </w:pPr>
      <w:r w:rsidRPr="000B6531">
        <w:rPr>
          <w:rFonts w:ascii="Arial" w:eastAsia="Times New Roman" w:hAnsi="Arial" w:cs="Arial"/>
          <w:lang w:eastAsia="cs-CZ"/>
        </w:rPr>
        <w:t>Odvození podpory a oborů dle zařazení výsledku v </w:t>
      </w:r>
      <w:proofErr w:type="gramStart"/>
      <w:r w:rsidRPr="000B6531">
        <w:rPr>
          <w:rFonts w:ascii="Arial" w:eastAsia="Times New Roman" w:hAnsi="Arial" w:cs="Arial"/>
          <w:lang w:eastAsia="cs-CZ"/>
        </w:rPr>
        <w:t>RIV</w:t>
      </w:r>
      <w:proofErr w:type="gramEnd"/>
      <w:r w:rsidRPr="000B6531">
        <w:rPr>
          <w:rFonts w:ascii="Arial" w:eastAsia="Times New Roman" w:hAnsi="Arial" w:cs="Arial"/>
          <w:lang w:eastAsia="cs-CZ"/>
        </w:rPr>
        <w:t xml:space="preserve"> není jednoznačné a týká se především publikačních výsledků (navíc většina časopisů má 1 a více FORD)</w:t>
      </w:r>
    </w:p>
    <w:p w:rsidR="005D184C" w:rsidRPr="000B6531" w:rsidRDefault="005D184C" w:rsidP="005D184C">
      <w:pPr>
        <w:pStyle w:val="Odstavecseseznamem"/>
        <w:numPr>
          <w:ilvl w:val="0"/>
          <w:numId w:val="1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lang w:eastAsia="cs-CZ"/>
        </w:rPr>
      </w:pPr>
      <w:r w:rsidRPr="000B6531">
        <w:rPr>
          <w:rFonts w:ascii="Arial" w:eastAsia="Times New Roman" w:hAnsi="Arial" w:cs="Arial"/>
          <w:lang w:eastAsia="cs-CZ"/>
        </w:rPr>
        <w:t xml:space="preserve">DK RVO by bylo možné sledovat nepřímo z CEA dle zaměření/poslání příjemce podpory (z Metodiky 17+), bohužel u VŠ nemáme evidenci v IS </w:t>
      </w:r>
      <w:proofErr w:type="spellStart"/>
      <w:r w:rsidRPr="000B6531">
        <w:rPr>
          <w:rFonts w:ascii="Arial" w:eastAsia="Times New Roman" w:hAnsi="Arial" w:cs="Arial"/>
          <w:lang w:eastAsia="cs-CZ"/>
        </w:rPr>
        <w:t>VaVaI</w:t>
      </w:r>
      <w:proofErr w:type="spellEnd"/>
      <w:r w:rsidRPr="000B6531">
        <w:rPr>
          <w:rFonts w:ascii="Arial" w:eastAsia="Times New Roman" w:hAnsi="Arial" w:cs="Arial"/>
          <w:lang w:eastAsia="cs-CZ"/>
        </w:rPr>
        <w:t xml:space="preserve"> na jednotlivé fakulty případně katedry, což může být problém u velkých VŠ</w:t>
      </w:r>
    </w:p>
    <w:p w:rsidR="005D184C" w:rsidRPr="000B6531" w:rsidRDefault="005D184C" w:rsidP="005D184C">
      <w:pPr>
        <w:pStyle w:val="Odstavecseseznamem"/>
        <w:numPr>
          <w:ilvl w:val="0"/>
          <w:numId w:val="1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lang w:eastAsia="cs-CZ"/>
        </w:rPr>
      </w:pPr>
      <w:r w:rsidRPr="000B6531">
        <w:rPr>
          <w:rFonts w:ascii="Arial" w:eastAsia="Times New Roman" w:hAnsi="Arial" w:cs="Arial"/>
          <w:lang w:eastAsia="cs-CZ"/>
        </w:rPr>
        <w:t>SVV – evidence v CEA, nemáme evidenci o oborovém zaměření této podpory</w:t>
      </w:r>
    </w:p>
    <w:p w:rsidR="005D184C" w:rsidRPr="000B6531" w:rsidRDefault="005D184C" w:rsidP="005D184C">
      <w:pPr>
        <w:pStyle w:val="Odstavecseseznamem"/>
        <w:numPr>
          <w:ilvl w:val="0"/>
          <w:numId w:val="1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lang w:eastAsia="cs-CZ"/>
        </w:rPr>
      </w:pPr>
      <w:r w:rsidRPr="000B6531">
        <w:rPr>
          <w:rFonts w:ascii="Arial" w:eastAsia="Times New Roman" w:hAnsi="Arial" w:cs="Arial"/>
          <w:lang w:eastAsia="cs-CZ"/>
        </w:rPr>
        <w:t>Velké výzkumné infrastruktury – viz obor projektu (ANA 2018)</w:t>
      </w:r>
    </w:p>
    <w:p w:rsidR="005D184C" w:rsidRPr="000B6531" w:rsidRDefault="005D184C" w:rsidP="005D184C">
      <w:pPr>
        <w:pStyle w:val="Odstavecseseznamem"/>
        <w:numPr>
          <w:ilvl w:val="0"/>
          <w:numId w:val="1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lang w:eastAsia="cs-CZ"/>
        </w:rPr>
      </w:pPr>
      <w:r w:rsidRPr="000B6531">
        <w:rPr>
          <w:rFonts w:ascii="Arial" w:eastAsia="Times New Roman" w:hAnsi="Arial" w:cs="Arial"/>
          <w:lang w:eastAsia="cs-CZ"/>
        </w:rPr>
        <w:t>NPU – díky převodu do RVO nebude již možné sledovat oborové zaměření této podpory</w:t>
      </w:r>
    </w:p>
    <w:p w:rsidR="005D184C" w:rsidRPr="000B6531" w:rsidRDefault="005D184C" w:rsidP="005D184C">
      <w:pPr>
        <w:pStyle w:val="Odstavecseseznamem"/>
        <w:numPr>
          <w:ilvl w:val="0"/>
          <w:numId w:val="1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lang w:eastAsia="cs-CZ"/>
        </w:rPr>
      </w:pPr>
      <w:r w:rsidRPr="000B6531">
        <w:rPr>
          <w:rFonts w:ascii="Arial" w:eastAsia="Times New Roman" w:hAnsi="Arial" w:cs="Arial"/>
          <w:lang w:eastAsia="cs-CZ"/>
        </w:rPr>
        <w:t>Operační programy – řídící orgány MPO a MŠMT</w:t>
      </w:r>
    </w:p>
    <w:p w:rsidR="005D184C" w:rsidRPr="000B6531" w:rsidRDefault="005D184C" w:rsidP="005D184C">
      <w:pPr>
        <w:keepNext/>
        <w:spacing w:before="120" w:after="240" w:line="240" w:lineRule="auto"/>
        <w:jc w:val="both"/>
        <w:rPr>
          <w:rFonts w:ascii="Arial" w:eastAsia="Times New Roman" w:hAnsi="Arial" w:cs="Times New Roman"/>
          <w:b/>
          <w:szCs w:val="24"/>
          <w:lang w:eastAsia="cs-CZ"/>
        </w:rPr>
      </w:pPr>
      <w:r w:rsidRPr="000B6531">
        <w:rPr>
          <w:rFonts w:ascii="Arial" w:eastAsia="Times New Roman" w:hAnsi="Arial" w:cs="Times New Roman"/>
          <w:b/>
          <w:szCs w:val="24"/>
          <w:lang w:eastAsia="cs-CZ"/>
        </w:rPr>
        <w:lastRenderedPageBreak/>
        <w:t>Vybrané faktory determinující oborové rozložení podpory</w:t>
      </w:r>
    </w:p>
    <w:p w:rsidR="005D184C" w:rsidRPr="000B6531" w:rsidRDefault="005D184C" w:rsidP="005D184C">
      <w:pPr>
        <w:pStyle w:val="Odstavecseseznamem"/>
        <w:numPr>
          <w:ilvl w:val="0"/>
          <w:numId w:val="1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lang w:eastAsia="cs-CZ"/>
        </w:rPr>
      </w:pPr>
      <w:r w:rsidRPr="000B6531">
        <w:rPr>
          <w:rFonts w:ascii="Arial" w:eastAsia="Times New Roman" w:hAnsi="Arial" w:cs="Arial"/>
          <w:lang w:eastAsia="cs-CZ"/>
        </w:rPr>
        <w:t xml:space="preserve">Strategické dokumenty v oblasti výzkumu, vývoje a inovací (Inovační strategie 2030, NP </w:t>
      </w:r>
      <w:proofErr w:type="spellStart"/>
      <w:r w:rsidRPr="000B6531">
        <w:rPr>
          <w:rFonts w:ascii="Arial" w:eastAsia="Times New Roman" w:hAnsi="Arial" w:cs="Arial"/>
          <w:lang w:eastAsia="cs-CZ"/>
        </w:rPr>
        <w:t>VaVaI</w:t>
      </w:r>
      <w:proofErr w:type="spellEnd"/>
      <w:r w:rsidRPr="000B6531">
        <w:rPr>
          <w:rFonts w:ascii="Arial" w:eastAsia="Times New Roman" w:hAnsi="Arial" w:cs="Arial"/>
          <w:lang w:eastAsia="cs-CZ"/>
        </w:rPr>
        <w:t>, NPOV)</w:t>
      </w:r>
    </w:p>
    <w:p w:rsidR="005D184C" w:rsidRPr="006A3135" w:rsidRDefault="005D184C" w:rsidP="005D184C">
      <w:pPr>
        <w:pStyle w:val="Odstavecseseznamem"/>
        <w:numPr>
          <w:ilvl w:val="0"/>
          <w:numId w:val="1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lang w:eastAsia="cs-CZ"/>
        </w:rPr>
      </w:pPr>
      <w:r w:rsidRPr="000B6531">
        <w:rPr>
          <w:rFonts w:ascii="Arial" w:eastAsia="Times New Roman" w:hAnsi="Arial" w:cs="Arial"/>
          <w:lang w:eastAsia="cs-CZ"/>
        </w:rPr>
        <w:t>Typ poskytovatele účelové podpory a jeho resortní zaměření dle kompetenčního</w:t>
      </w:r>
      <w:r w:rsidRPr="006A3135">
        <w:rPr>
          <w:rFonts w:ascii="Arial" w:eastAsia="Times New Roman" w:hAnsi="Arial" w:cs="Arial"/>
          <w:lang w:eastAsia="cs-CZ"/>
        </w:rPr>
        <w:t xml:space="preserve"> zákona </w:t>
      </w:r>
      <w:r w:rsidRPr="001C09EC">
        <w:rPr>
          <w:rFonts w:ascii="Arial" w:eastAsia="Times New Roman" w:hAnsi="Arial" w:cs="Arial"/>
          <w:lang w:val="en-GB" w:eastAsia="cs-CZ"/>
        </w:rPr>
        <w:sym w:font="Wingdings" w:char="F0E0"/>
      </w:r>
      <w:r w:rsidRPr="006A3135">
        <w:rPr>
          <w:rFonts w:ascii="Arial" w:eastAsia="Times New Roman" w:hAnsi="Arial" w:cs="Arial"/>
          <w:lang w:eastAsia="cs-CZ"/>
        </w:rPr>
        <w:t xml:space="preserve">Oborové zaměření programu, tj. cíl programu </w:t>
      </w:r>
      <w:r w:rsidRPr="006A3135">
        <w:rPr>
          <w:rFonts w:ascii="Arial" w:eastAsia="Times New Roman" w:hAnsi="Arial" w:cs="Arial"/>
          <w:lang w:val="en-GB" w:eastAsia="cs-CZ"/>
        </w:rPr>
        <w:t>(</w:t>
      </w:r>
      <w:r w:rsidRPr="006A3135">
        <w:rPr>
          <w:rFonts w:ascii="Arial" w:eastAsia="Times New Roman" w:hAnsi="Arial" w:cs="Arial"/>
          <w:lang w:eastAsia="cs-CZ"/>
        </w:rPr>
        <w:t xml:space="preserve">musí být v souladu s NP </w:t>
      </w:r>
      <w:proofErr w:type="spellStart"/>
      <w:r w:rsidRPr="006A3135">
        <w:rPr>
          <w:rFonts w:ascii="Arial" w:eastAsia="Times New Roman" w:hAnsi="Arial" w:cs="Arial"/>
          <w:lang w:eastAsia="cs-CZ"/>
        </w:rPr>
        <w:t>VaVaI</w:t>
      </w:r>
      <w:proofErr w:type="spellEnd"/>
      <w:r w:rsidRPr="006A3135">
        <w:rPr>
          <w:rFonts w:ascii="Arial" w:eastAsia="Times New Roman" w:hAnsi="Arial" w:cs="Arial"/>
          <w:lang w:eastAsia="cs-CZ"/>
        </w:rPr>
        <w:t xml:space="preserve"> a dalšími strategickými dokumenty) </w:t>
      </w:r>
      <w:r w:rsidRPr="001C09EC">
        <w:rPr>
          <w:rFonts w:ascii="Arial" w:eastAsia="Times New Roman" w:hAnsi="Arial" w:cs="Arial"/>
          <w:lang w:val="en-GB" w:eastAsia="cs-CZ"/>
        </w:rPr>
        <w:sym w:font="Wingdings" w:char="F0E0"/>
      </w:r>
      <w:r w:rsidRPr="006A3135">
        <w:rPr>
          <w:rFonts w:ascii="Arial" w:eastAsia="Times New Roman" w:hAnsi="Arial" w:cs="Arial"/>
          <w:lang w:eastAsia="cs-CZ"/>
        </w:rPr>
        <w:t>veřejná soutěž</w:t>
      </w:r>
    </w:p>
    <w:p w:rsidR="0084445A" w:rsidRPr="0084445A" w:rsidRDefault="0084445A" w:rsidP="0084445A">
      <w:pPr>
        <w:keepNext/>
        <w:spacing w:before="120" w:after="240" w:line="240" w:lineRule="auto"/>
        <w:jc w:val="both"/>
        <w:rPr>
          <w:rFonts w:ascii="Arial" w:eastAsia="Times New Roman" w:hAnsi="Arial" w:cs="Times New Roman"/>
          <w:b/>
          <w:szCs w:val="24"/>
          <w:lang w:eastAsia="cs-CZ"/>
        </w:rPr>
      </w:pPr>
      <w:r w:rsidRPr="0084445A">
        <w:rPr>
          <w:rFonts w:ascii="Arial" w:eastAsia="Times New Roman" w:hAnsi="Arial" w:cs="Times New Roman"/>
          <w:b/>
          <w:szCs w:val="24"/>
          <w:lang w:eastAsia="cs-CZ"/>
        </w:rPr>
        <w:t>Účelová podpora na PROJEKTY ze státního rozpočtu skupinám oborů a jednotlivým oborům v roce 2018 (v mil. Kč)</w:t>
      </w:r>
    </w:p>
    <w:p w:rsidR="0084445A" w:rsidRPr="0084445A" w:rsidRDefault="0084445A" w:rsidP="0084445A">
      <w:pPr>
        <w:keepNext/>
        <w:spacing w:before="120" w:after="240" w:line="240" w:lineRule="auto"/>
        <w:jc w:val="center"/>
        <w:rPr>
          <w:rFonts w:ascii="Arial" w:eastAsia="Times New Roman" w:hAnsi="Arial" w:cs="Times New Roman"/>
          <w:szCs w:val="24"/>
          <w:lang w:eastAsia="cs-CZ"/>
        </w:rPr>
      </w:pPr>
      <w:r w:rsidRPr="0084445A">
        <w:rPr>
          <w:rFonts w:ascii="Arial" w:eastAsia="Times New Roman" w:hAnsi="Arial" w:cs="Times New Roman"/>
          <w:noProof/>
          <w:szCs w:val="24"/>
          <w:lang w:eastAsia="cs-CZ"/>
        </w:rPr>
        <w:drawing>
          <wp:inline distT="0" distB="0" distL="0" distR="0">
            <wp:extent cx="4059857" cy="3554106"/>
            <wp:effectExtent l="0" t="0" r="0" b="8255"/>
            <wp:docPr id="98" name="Obrázek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8628" cy="356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45A" w:rsidRPr="0084445A" w:rsidRDefault="0084445A" w:rsidP="0084445A">
      <w:pPr>
        <w:spacing w:before="120" w:after="240" w:line="288" w:lineRule="auto"/>
        <w:contextualSpacing/>
        <w:jc w:val="both"/>
        <w:rPr>
          <w:rFonts w:ascii="Arial" w:eastAsia="Times New Roman" w:hAnsi="Arial" w:cs="Times New Roman"/>
          <w:i/>
          <w:sz w:val="18"/>
          <w:szCs w:val="24"/>
          <w:lang w:eastAsia="cs-CZ"/>
        </w:rPr>
      </w:pPr>
      <w:r w:rsidRPr="0084445A">
        <w:rPr>
          <w:rFonts w:ascii="Arial" w:eastAsia="Times New Roman" w:hAnsi="Arial" w:cs="Times New Roman"/>
          <w:i/>
          <w:sz w:val="18"/>
          <w:szCs w:val="24"/>
          <w:lang w:eastAsia="cs-CZ"/>
        </w:rPr>
        <w:t xml:space="preserve">Zdroj: IS </w:t>
      </w:r>
      <w:proofErr w:type="spellStart"/>
      <w:r w:rsidRPr="0084445A">
        <w:rPr>
          <w:rFonts w:ascii="Arial" w:eastAsia="Times New Roman" w:hAnsi="Arial" w:cs="Times New Roman"/>
          <w:i/>
          <w:sz w:val="18"/>
          <w:szCs w:val="24"/>
          <w:lang w:eastAsia="cs-CZ"/>
        </w:rPr>
        <w:t>VaVaI</w:t>
      </w:r>
      <w:proofErr w:type="spellEnd"/>
      <w:r w:rsidRPr="0084445A">
        <w:rPr>
          <w:rFonts w:ascii="Arial" w:eastAsia="Times New Roman" w:hAnsi="Arial" w:cs="Times New Roman"/>
          <w:i/>
          <w:sz w:val="18"/>
          <w:szCs w:val="24"/>
          <w:lang w:eastAsia="cs-CZ"/>
        </w:rPr>
        <w:t>, export 1. 8. 2019 | Uvedeny jsou pouze obory, jejichž podpora v roce 2018 překročila 140 mil. Kč.</w:t>
      </w:r>
    </w:p>
    <w:p w:rsidR="005D184C" w:rsidRDefault="005D184C" w:rsidP="00D67100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cs-CZ"/>
        </w:rPr>
      </w:pPr>
    </w:p>
    <w:p w:rsidR="002D76F9" w:rsidRDefault="0084445A" w:rsidP="00D67100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cs-CZ"/>
        </w:rPr>
        <w:sectPr w:rsidR="002D76F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C33C04">
        <w:rPr>
          <w:rFonts w:ascii="Arial" w:eastAsia="Times New Roman" w:hAnsi="Arial" w:cs="Arial"/>
          <w:lang w:eastAsia="cs-CZ"/>
        </w:rPr>
        <w:t>Účelová podpora na PROJEKTY (11,4 mld</w:t>
      </w:r>
      <w:r w:rsidRPr="000B6531">
        <w:rPr>
          <w:rFonts w:ascii="Arial" w:eastAsia="Times New Roman" w:hAnsi="Arial" w:cs="Arial"/>
          <w:lang w:eastAsia="cs-CZ"/>
        </w:rPr>
        <w:t xml:space="preserve">. Kč) vypovídá o úspěšnosti vědeckých týmů jednotlivých oborových skupin a vybraných oborů </w:t>
      </w:r>
      <w:proofErr w:type="spellStart"/>
      <w:r w:rsidRPr="000B6531">
        <w:rPr>
          <w:rFonts w:ascii="Arial" w:eastAsia="Times New Roman" w:hAnsi="Arial" w:cs="Arial"/>
          <w:lang w:eastAsia="cs-CZ"/>
        </w:rPr>
        <w:t>VaVaI</w:t>
      </w:r>
      <w:proofErr w:type="spellEnd"/>
      <w:r w:rsidRPr="000B6531">
        <w:rPr>
          <w:rFonts w:ascii="Arial" w:eastAsia="Times New Roman" w:hAnsi="Arial" w:cs="Arial"/>
          <w:lang w:eastAsia="cs-CZ"/>
        </w:rPr>
        <w:t xml:space="preserve"> v soutěžích o národní prostředky. </w:t>
      </w:r>
      <w:r w:rsidRPr="000B6531">
        <w:rPr>
          <w:rFonts w:ascii="Arial" w:eastAsia="Times New Roman" w:hAnsi="Arial" w:cs="Arial"/>
          <w:b/>
          <w:lang w:eastAsia="cs-CZ"/>
        </w:rPr>
        <w:t xml:space="preserve">Interpretace je přesto omezena specifikou oborového členění v IS </w:t>
      </w:r>
      <w:proofErr w:type="spellStart"/>
      <w:r w:rsidRPr="000B6531">
        <w:rPr>
          <w:rFonts w:ascii="Arial" w:eastAsia="Times New Roman" w:hAnsi="Arial" w:cs="Arial"/>
          <w:b/>
          <w:lang w:eastAsia="cs-CZ"/>
        </w:rPr>
        <w:t>VaVaI</w:t>
      </w:r>
      <w:proofErr w:type="spellEnd"/>
      <w:r w:rsidRPr="000B6531">
        <w:rPr>
          <w:rFonts w:ascii="Arial" w:eastAsia="Times New Roman" w:hAnsi="Arial" w:cs="Arial"/>
          <w:b/>
          <w:lang w:eastAsia="cs-CZ"/>
        </w:rPr>
        <w:t xml:space="preserve"> a postupným přechodem na nový a stále se upřesňující číselník a zaměřením některých programů na</w:t>
      </w:r>
      <w:r w:rsidR="00D67100" w:rsidRPr="000B6531">
        <w:rPr>
          <w:rFonts w:ascii="Arial" w:eastAsia="Times New Roman" w:hAnsi="Arial" w:cs="Arial"/>
          <w:b/>
          <w:lang w:eastAsia="cs-CZ"/>
        </w:rPr>
        <w:t> </w:t>
      </w:r>
      <w:r w:rsidRPr="000B6531">
        <w:rPr>
          <w:rFonts w:ascii="Arial" w:eastAsia="Times New Roman" w:hAnsi="Arial" w:cs="Arial"/>
          <w:b/>
          <w:lang w:eastAsia="cs-CZ"/>
        </w:rPr>
        <w:t>podporu horizontálních aktivit.</w:t>
      </w:r>
      <w:r w:rsidRPr="000B6531">
        <w:rPr>
          <w:rFonts w:ascii="Arial" w:eastAsia="Times New Roman" w:hAnsi="Arial" w:cs="Arial"/>
          <w:lang w:eastAsia="cs-CZ"/>
        </w:rPr>
        <w:t xml:space="preserve"> Dále na příkladu vysokého podílu čerpané podpory u oboru Umění, architektura a kulturní dědictví je patrné, že některé obory v rámci oborových skupin jsou preferovány přímo zaměřením programu (NAKI II). Z hlediska oborového zaměření projektů byl nejvýrazněji podporovanou skupinou oborů Průmysl (3,4 mld. Kč) následovaný Lékařskými vědami (1,4 mld. Kč), Společenskými a</w:t>
      </w:r>
      <w:r w:rsidRPr="00C33C04">
        <w:rPr>
          <w:rFonts w:ascii="Arial" w:eastAsia="Times New Roman" w:hAnsi="Arial" w:cs="Arial"/>
          <w:lang w:eastAsia="cs-CZ"/>
        </w:rPr>
        <w:t> humanitními vědami (1,4 mld. Kč) a</w:t>
      </w:r>
      <w:r w:rsidR="00D67100">
        <w:rPr>
          <w:rFonts w:ascii="Arial" w:eastAsia="Times New Roman" w:hAnsi="Arial" w:cs="Arial"/>
          <w:lang w:eastAsia="cs-CZ"/>
        </w:rPr>
        <w:t> </w:t>
      </w:r>
      <w:proofErr w:type="spellStart"/>
      <w:r w:rsidRPr="00C33C04">
        <w:rPr>
          <w:rFonts w:ascii="Arial" w:eastAsia="Times New Roman" w:hAnsi="Arial" w:cs="Arial"/>
          <w:lang w:eastAsia="cs-CZ"/>
        </w:rPr>
        <w:t>Biovědami</w:t>
      </w:r>
      <w:proofErr w:type="spellEnd"/>
      <w:r w:rsidRPr="00C33C04">
        <w:rPr>
          <w:rFonts w:ascii="Arial" w:eastAsia="Times New Roman" w:hAnsi="Arial" w:cs="Arial"/>
          <w:lang w:eastAsia="cs-CZ"/>
        </w:rPr>
        <w:t xml:space="preserve"> (1,4 mld. Kč). Finanční podporu dosahující téměř 1 mld. Kč vykázaly také skupiny Chemie a Fyzika </w:t>
      </w:r>
      <w:r w:rsidR="009A1345">
        <w:rPr>
          <w:rFonts w:ascii="Arial" w:eastAsia="Times New Roman" w:hAnsi="Arial" w:cs="Arial"/>
          <w:lang w:eastAsia="cs-CZ"/>
        </w:rPr>
        <w:t>a matematika.</w:t>
      </w:r>
    </w:p>
    <w:p w:rsidR="009A1345" w:rsidRPr="00C33C04" w:rsidRDefault="009A1345" w:rsidP="009A1345">
      <w:pPr>
        <w:pStyle w:val="Obrzek-nadpis"/>
      </w:pPr>
      <w:r w:rsidRPr="00C33C04">
        <w:lastRenderedPageBreak/>
        <w:t xml:space="preserve">Účelová podpora na PROJEKTY ze státního rozpočtu skupinám oborů v roce 2018 podle poskytovatele (v </w:t>
      </w:r>
      <w:r w:rsidR="00D67100">
        <w:t>mil</w:t>
      </w:r>
      <w:r w:rsidRPr="00C33C04">
        <w:t>. Kč)</w:t>
      </w:r>
    </w:p>
    <w:tbl>
      <w:tblPr>
        <w:tblW w:w="499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5"/>
        <w:gridCol w:w="937"/>
        <w:gridCol w:w="816"/>
        <w:gridCol w:w="161"/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 w:rsidR="00DF6446" w:rsidRPr="00DF6446" w:rsidTr="00D67100">
        <w:trPr>
          <w:trHeight w:val="397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808080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  <w:t>Obor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808080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  <w:t>GA ČR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  <w:t>TA ČR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  <w:t>MPO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</w:pPr>
            <w:proofErr w:type="spellStart"/>
            <w:r w:rsidRPr="00DF6446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  <w:t>MZd</w:t>
            </w:r>
            <w:proofErr w:type="spellEnd"/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  <w:t>MO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  <w:t>MV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</w:pPr>
            <w:proofErr w:type="spellStart"/>
            <w:r w:rsidRPr="00DF6446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cs-CZ"/>
              </w:rPr>
              <w:t>MZe</w:t>
            </w:r>
            <w:proofErr w:type="spellEnd"/>
          </w:p>
        </w:tc>
      </w:tr>
      <w:tr w:rsidR="00D67100" w:rsidRPr="00DF6446" w:rsidTr="00D67100">
        <w:trPr>
          <w:trHeight w:val="397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Průmysl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3 367.6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29.5%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444.5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1 496.7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1 014.2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88.4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9.8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72.0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236.3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4.0</w:t>
            </w:r>
          </w:p>
        </w:tc>
      </w:tr>
      <w:tr w:rsidR="00D67100" w:rsidRPr="00DF6446" w:rsidTr="00D67100">
        <w:trPr>
          <w:trHeight w:val="397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Lékařské vědy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1 437.1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12.6%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296.8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94.9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63.3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9.8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961.8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9.6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67100" w:rsidRPr="00DF6446" w:rsidTr="00D67100">
        <w:trPr>
          <w:trHeight w:val="397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Společenské vědy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1 410.9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12.3%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641.9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139.1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3.9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61.6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4.7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471.4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5.8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82.5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67100" w:rsidRPr="00DF6446" w:rsidTr="00D67100">
        <w:trPr>
          <w:trHeight w:val="397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Biovědy</w:t>
            </w:r>
            <w:proofErr w:type="spellEnd"/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1 387.4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12.1%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986.6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66.8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46.1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57.0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166.4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6.2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41.9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16.2</w:t>
            </w:r>
          </w:p>
        </w:tc>
      </w:tr>
      <w:tr w:rsidR="00D67100" w:rsidRPr="00DF6446" w:rsidTr="00D67100">
        <w:trPr>
          <w:trHeight w:val="397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Chemie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991.0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8.7%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551.4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195.5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107.0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48.4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14.0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23.2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50.2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1.2</w:t>
            </w:r>
          </w:p>
        </w:tc>
      </w:tr>
      <w:tr w:rsidR="00D67100" w:rsidRPr="00DF6446" w:rsidTr="00D67100">
        <w:trPr>
          <w:trHeight w:val="397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Fyzika a matematika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913.3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8.0%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596.8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177.6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21.5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88.1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2.8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26.5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67100" w:rsidRPr="00DF6446" w:rsidTr="00D67100">
        <w:trPr>
          <w:trHeight w:val="397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Vědy o zemi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772.5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6.8%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269.5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334.1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44.1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23.0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7.6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3.6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52.3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38.3</w:t>
            </w:r>
          </w:p>
        </w:tc>
      </w:tr>
      <w:tr w:rsidR="00D67100" w:rsidRPr="00DF6446" w:rsidTr="00D67100">
        <w:trPr>
          <w:trHeight w:val="397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Zemědělství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616.5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5.4%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65.8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151.0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11.0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11.7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2.1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13.2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361.8</w:t>
            </w:r>
          </w:p>
        </w:tc>
      </w:tr>
      <w:tr w:rsidR="00D67100" w:rsidRPr="00DF6446" w:rsidTr="00D67100">
        <w:trPr>
          <w:trHeight w:val="397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Vojenství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267.8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2.3%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246.6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21.2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67100" w:rsidRPr="00DF6446" w:rsidTr="00D67100">
        <w:trPr>
          <w:trHeight w:val="397"/>
        </w:trPr>
        <w:tc>
          <w:tcPr>
            <w:tcW w:w="606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Informatika</w:t>
            </w:r>
          </w:p>
        </w:tc>
        <w:tc>
          <w:tcPr>
            <w:tcW w:w="33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265.6</w:t>
            </w:r>
          </w:p>
        </w:tc>
        <w:tc>
          <w:tcPr>
            <w:tcW w:w="28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2.3%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95.4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68.9</w:t>
            </w:r>
          </w:p>
        </w:tc>
        <w:tc>
          <w:tcPr>
            <w:tcW w:w="4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13.4</w:t>
            </w:r>
          </w:p>
        </w:tc>
        <w:tc>
          <w:tcPr>
            <w:tcW w:w="4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17.8</w:t>
            </w:r>
          </w:p>
        </w:tc>
        <w:tc>
          <w:tcPr>
            <w:tcW w:w="4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4.4</w:t>
            </w:r>
          </w:p>
        </w:tc>
        <w:tc>
          <w:tcPr>
            <w:tcW w:w="4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3.0</w:t>
            </w:r>
          </w:p>
        </w:tc>
        <w:tc>
          <w:tcPr>
            <w:tcW w:w="4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59.6</w:t>
            </w:r>
          </w:p>
        </w:tc>
        <w:tc>
          <w:tcPr>
            <w:tcW w:w="4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3.3</w:t>
            </w:r>
          </w:p>
        </w:tc>
      </w:tr>
      <w:tr w:rsidR="00DF6446" w:rsidRPr="00DF6446" w:rsidTr="00D67100">
        <w:trPr>
          <w:trHeight w:val="397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Celkový součet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11 429.7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100.0%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3 948.8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2 724.6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1 324.3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405.8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1 156.4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495.4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356.2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593.2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446" w:rsidRPr="00DF6446" w:rsidRDefault="00DF6446" w:rsidP="00DF64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F644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424.8</w:t>
            </w:r>
          </w:p>
        </w:tc>
      </w:tr>
    </w:tbl>
    <w:p w:rsidR="00DF6446" w:rsidRDefault="00DF6446" w:rsidP="002D76F9">
      <w:pPr>
        <w:pStyle w:val="Zdrojapoznmka"/>
      </w:pPr>
    </w:p>
    <w:p w:rsidR="002D76F9" w:rsidRDefault="002D76F9" w:rsidP="00D67100">
      <w:pPr>
        <w:pStyle w:val="Zdrojapoznmka"/>
      </w:pPr>
      <w:r w:rsidRPr="00C33C04">
        <w:t xml:space="preserve">Zdroj: IS </w:t>
      </w:r>
      <w:proofErr w:type="spellStart"/>
      <w:r w:rsidRPr="00C33C04">
        <w:t>VaVaI</w:t>
      </w:r>
      <w:proofErr w:type="spellEnd"/>
      <w:r w:rsidRPr="00C33C04">
        <w:t>, export 1. 8. 2019</w:t>
      </w:r>
    </w:p>
    <w:p w:rsidR="00D67100" w:rsidRDefault="00D67100" w:rsidP="00D67100">
      <w:pPr>
        <w:pStyle w:val="Zdrojapoznmka"/>
      </w:pPr>
    </w:p>
    <w:p w:rsidR="00D67100" w:rsidRDefault="00D67100" w:rsidP="00D67100">
      <w:pPr>
        <w:pStyle w:val="Zdrojapoznmka"/>
      </w:pPr>
    </w:p>
    <w:p w:rsidR="00D67100" w:rsidRDefault="00D67100" w:rsidP="00D67100">
      <w:pPr>
        <w:pStyle w:val="Zdrojapoznmka"/>
      </w:pPr>
      <w:r>
        <w:t xml:space="preserve">Poznámka: </w:t>
      </w:r>
      <w:r w:rsidRPr="00D67100">
        <w:t>Od roku 2017 probíhá změna systému hodnocení výzkumných organizací spočívající v přechodu ze stávajícího systému založeného na kvantitě k hodnocení kvality a dopadu výzkumu a vývoje (více viz Metodika 2017+).</w:t>
      </w:r>
      <w:r>
        <w:t xml:space="preserve"> Členění projektů</w:t>
      </w:r>
      <w:r w:rsidR="003175D4">
        <w:t xml:space="preserve"> v IS </w:t>
      </w:r>
      <w:proofErr w:type="spellStart"/>
      <w:r w:rsidR="003175D4">
        <w:t>VaVaI</w:t>
      </w:r>
      <w:proofErr w:type="spellEnd"/>
      <w:r w:rsidR="003175D4">
        <w:t xml:space="preserve"> s rokem zahájení starší než 2017</w:t>
      </w:r>
      <w:r>
        <w:t xml:space="preserve"> je podle oborů dle číselníku vycházející z metodiky hodnocení platné před rokem 2017, postupně se přechází na nový číselník FORD, který se</w:t>
      </w:r>
      <w:r w:rsidRPr="00D67100">
        <w:t xml:space="preserve"> stále </w:t>
      </w:r>
      <w:r>
        <w:t>upřesňuje.</w:t>
      </w:r>
    </w:p>
    <w:p w:rsidR="00D67100" w:rsidRDefault="00D67100" w:rsidP="00D67100">
      <w:pPr>
        <w:pStyle w:val="Zdrojapoznmka"/>
      </w:pPr>
    </w:p>
    <w:p w:rsidR="00D67100" w:rsidRDefault="00D67100" w:rsidP="00D67100">
      <w:pPr>
        <w:pStyle w:val="Zdrojapoznmka"/>
      </w:pPr>
    </w:p>
    <w:p w:rsidR="00D67100" w:rsidRDefault="00D67100" w:rsidP="00D67100">
      <w:pPr>
        <w:pStyle w:val="Zdrojapoznmka"/>
      </w:pPr>
    </w:p>
    <w:p w:rsidR="00D67100" w:rsidRDefault="00D67100" w:rsidP="00D67100">
      <w:pPr>
        <w:pStyle w:val="Zdrojapoznmka"/>
        <w:sectPr w:rsidR="00D67100" w:rsidSect="002D76F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5D184C" w:rsidRDefault="005D184C" w:rsidP="005D184C">
      <w:pPr>
        <w:pStyle w:val="Obrzek-nadpis"/>
      </w:pPr>
      <w:r w:rsidRPr="00C33C04">
        <w:lastRenderedPageBreak/>
        <w:t>Přehled velkých výzkumných infrastruktur, jejich oborová struktura a přidělená podpora ze SR na roky 2016–2019</w:t>
      </w:r>
    </w:p>
    <w:p w:rsidR="005D184C" w:rsidRDefault="005D184C" w:rsidP="005D184C">
      <w:pPr>
        <w:pStyle w:val="Obrzek-nadpis"/>
      </w:pPr>
      <w:r w:rsidRPr="00C33C04">
        <w:rPr>
          <w:noProof/>
        </w:rPr>
        <w:drawing>
          <wp:inline distT="0" distB="0" distL="0" distR="0">
            <wp:extent cx="5521307" cy="3738535"/>
            <wp:effectExtent l="0" t="0" r="3810" b="0"/>
            <wp:docPr id="39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1433"/>
                    <a:stretch/>
                  </pic:blipFill>
                  <pic:spPr bwMode="auto">
                    <a:xfrm>
                      <a:off x="0" y="0"/>
                      <a:ext cx="5524357" cy="3740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184C" w:rsidRPr="00946DC2" w:rsidRDefault="005D184C" w:rsidP="005D184C">
      <w:pPr>
        <w:pStyle w:val="Zdrojapoznmka"/>
      </w:pPr>
      <w:r w:rsidRPr="00C33C04">
        <w:t xml:space="preserve">Zdroj: IS </w:t>
      </w:r>
      <w:proofErr w:type="spellStart"/>
      <w:r w:rsidRPr="00C33C04">
        <w:t>VaVaI</w:t>
      </w:r>
      <w:proofErr w:type="spellEnd"/>
      <w:r w:rsidRPr="00C33C04">
        <w:t>, export 1. 8. 2019</w:t>
      </w:r>
    </w:p>
    <w:p w:rsidR="005D184C" w:rsidRDefault="005D184C" w:rsidP="00946DC2">
      <w:pPr>
        <w:pStyle w:val="Obrzek-nadpis"/>
        <w:sectPr w:rsidR="005D184C" w:rsidSect="005D184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46DC2" w:rsidRPr="00C33C04" w:rsidRDefault="00D67100" w:rsidP="00946DC2">
      <w:pPr>
        <w:pStyle w:val="Obrzek-nadpis"/>
      </w:pPr>
      <w:r>
        <w:lastRenderedPageBreak/>
        <w:t xml:space="preserve">Detailní pohled na obor lékařské vědy </w:t>
      </w:r>
      <w:r w:rsidR="00946DC2" w:rsidRPr="00C33C04">
        <w:t xml:space="preserve">podle poskytovatele (v </w:t>
      </w:r>
      <w:r w:rsidR="00946DC2">
        <w:t>mil</w:t>
      </w:r>
      <w:r w:rsidR="00946DC2" w:rsidRPr="00C33C04">
        <w:t>. Kč)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0"/>
        <w:gridCol w:w="1025"/>
        <w:gridCol w:w="1025"/>
        <w:gridCol w:w="1024"/>
        <w:gridCol w:w="1024"/>
        <w:gridCol w:w="1024"/>
        <w:gridCol w:w="1024"/>
        <w:gridCol w:w="1024"/>
        <w:gridCol w:w="1024"/>
      </w:tblGrid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808080"/>
              <w:left w:val="nil"/>
              <w:bottom w:val="single" w:sz="4" w:space="0" w:color="D9D9D9"/>
              <w:right w:val="nil"/>
            </w:tcBorders>
            <w:shd w:val="clear" w:color="808080" w:fill="808080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color w:val="FFFFFF"/>
                <w:lang w:eastAsia="cs-CZ"/>
              </w:rPr>
              <w:t>Kategorie</w:t>
            </w:r>
          </w:p>
        </w:tc>
        <w:tc>
          <w:tcPr>
            <w:tcW w:w="362" w:type="pct"/>
            <w:tcBorders>
              <w:top w:val="single" w:sz="4" w:space="0" w:color="808080"/>
              <w:left w:val="nil"/>
              <w:bottom w:val="single" w:sz="4" w:space="0" w:color="D9D9D9"/>
              <w:right w:val="nil"/>
            </w:tcBorders>
            <w:shd w:val="clear" w:color="808080" w:fill="808080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cs-CZ"/>
              </w:rPr>
            </w:pPr>
            <w:proofErr w:type="spellStart"/>
            <w:r w:rsidRPr="00946DC2">
              <w:rPr>
                <w:rFonts w:ascii="Calibri" w:eastAsia="Times New Roman" w:hAnsi="Calibri" w:cs="Calibri"/>
                <w:color w:val="FFFFFF"/>
                <w:lang w:eastAsia="cs-CZ"/>
              </w:rPr>
              <w:t>MZd</w:t>
            </w:r>
            <w:proofErr w:type="spellEnd"/>
          </w:p>
        </w:tc>
        <w:tc>
          <w:tcPr>
            <w:tcW w:w="362" w:type="pct"/>
            <w:tcBorders>
              <w:top w:val="single" w:sz="4" w:space="0" w:color="808080"/>
              <w:left w:val="nil"/>
              <w:bottom w:val="single" w:sz="4" w:space="0" w:color="D9D9D9"/>
              <w:right w:val="nil"/>
            </w:tcBorders>
            <w:shd w:val="clear" w:color="808080" w:fill="808080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FFFFFF"/>
                <w:lang w:eastAsia="cs-CZ"/>
              </w:rPr>
              <w:t>GA ČR</w:t>
            </w:r>
          </w:p>
        </w:tc>
        <w:tc>
          <w:tcPr>
            <w:tcW w:w="362" w:type="pct"/>
            <w:tcBorders>
              <w:top w:val="single" w:sz="4" w:space="0" w:color="808080"/>
              <w:left w:val="nil"/>
              <w:bottom w:val="single" w:sz="4" w:space="0" w:color="D9D9D9"/>
              <w:right w:val="nil"/>
            </w:tcBorders>
            <w:shd w:val="clear" w:color="808080" w:fill="808080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FFFFFF"/>
                <w:lang w:eastAsia="cs-CZ"/>
              </w:rPr>
              <w:t>TA ČR</w:t>
            </w:r>
          </w:p>
        </w:tc>
        <w:tc>
          <w:tcPr>
            <w:tcW w:w="362" w:type="pct"/>
            <w:tcBorders>
              <w:top w:val="single" w:sz="4" w:space="0" w:color="808080"/>
              <w:left w:val="nil"/>
              <w:bottom w:val="single" w:sz="4" w:space="0" w:color="D9D9D9"/>
              <w:right w:val="nil"/>
            </w:tcBorders>
            <w:shd w:val="clear" w:color="808080" w:fill="808080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FFFFFF"/>
                <w:lang w:eastAsia="cs-CZ"/>
              </w:rPr>
              <w:t>MPO</w:t>
            </w:r>
          </w:p>
        </w:tc>
        <w:tc>
          <w:tcPr>
            <w:tcW w:w="362" w:type="pct"/>
            <w:tcBorders>
              <w:top w:val="single" w:sz="4" w:space="0" w:color="808080"/>
              <w:left w:val="nil"/>
              <w:bottom w:val="single" w:sz="4" w:space="0" w:color="D9D9D9"/>
              <w:right w:val="nil"/>
            </w:tcBorders>
            <w:shd w:val="clear" w:color="808080" w:fill="808080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FFFFFF"/>
                <w:lang w:eastAsia="cs-CZ"/>
              </w:rPr>
              <w:t>MŠMT</w:t>
            </w:r>
          </w:p>
        </w:tc>
        <w:tc>
          <w:tcPr>
            <w:tcW w:w="362" w:type="pct"/>
            <w:tcBorders>
              <w:top w:val="single" w:sz="4" w:space="0" w:color="808080"/>
              <w:left w:val="nil"/>
              <w:bottom w:val="single" w:sz="4" w:space="0" w:color="D9D9D9"/>
              <w:right w:val="nil"/>
            </w:tcBorders>
            <w:shd w:val="clear" w:color="808080" w:fill="808080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FFFFFF"/>
                <w:lang w:eastAsia="cs-CZ"/>
              </w:rPr>
              <w:t>MO</w:t>
            </w:r>
          </w:p>
        </w:tc>
        <w:tc>
          <w:tcPr>
            <w:tcW w:w="362" w:type="pct"/>
            <w:tcBorders>
              <w:top w:val="single" w:sz="4" w:space="0" w:color="808080"/>
              <w:left w:val="nil"/>
              <w:bottom w:val="single" w:sz="4" w:space="0" w:color="D9D9D9"/>
              <w:right w:val="nil"/>
            </w:tcBorders>
            <w:shd w:val="clear" w:color="808080" w:fill="808080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FFFFFF"/>
                <w:lang w:eastAsia="cs-CZ"/>
              </w:rPr>
              <w:t>MV</w:t>
            </w:r>
          </w:p>
        </w:tc>
        <w:tc>
          <w:tcPr>
            <w:tcW w:w="362" w:type="pct"/>
            <w:tcBorders>
              <w:top w:val="single" w:sz="4" w:space="0" w:color="808080"/>
              <w:left w:val="nil"/>
              <w:bottom w:val="single" w:sz="4" w:space="0" w:color="D9D9D9"/>
              <w:right w:val="nil"/>
            </w:tcBorders>
            <w:shd w:val="clear" w:color="808080" w:fill="808080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FFFFFF"/>
                <w:lang w:eastAsia="cs-CZ"/>
              </w:rPr>
              <w:t>Celkový součet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Onkologie a hematologie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216.7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49.3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35.9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0.9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C7CE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9C0006"/>
                <w:lang w:eastAsia="cs-CZ"/>
              </w:rPr>
              <w:t>302.8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Clinicalmedicine</w:t>
            </w:r>
            <w:proofErr w:type="spellEnd"/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[OECD]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124.9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32.5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5.1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12.4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0.6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0.4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C7CE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9C0006"/>
                <w:lang w:eastAsia="cs-CZ"/>
              </w:rPr>
              <w:t>175.8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Neurologie, neurochirurgie, neurovědy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94.2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62.9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2.2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C7CE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9C0006"/>
                <w:lang w:eastAsia="cs-CZ"/>
              </w:rPr>
              <w:t>159.4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Endokrinologie, diabetologie, metabolismus, výživa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81.6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16.3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0.9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C7CE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9C0006"/>
                <w:lang w:eastAsia="cs-CZ"/>
              </w:rPr>
              <w:t>98.7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Kardiovaskulární nemoci včetně kardiochirurgie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77.3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7.3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C7CE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9C0006"/>
                <w:lang w:eastAsia="cs-CZ"/>
              </w:rPr>
              <w:t>84.6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Farmakologie a lékárnická chemie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18.6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49.1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4.1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0.8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C7CE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9C0006"/>
                <w:lang w:eastAsia="cs-CZ"/>
              </w:rPr>
              <w:t>72.6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Basic </w:t>
            </w:r>
            <w:proofErr w:type="spellStart"/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medicine</w:t>
            </w:r>
            <w:proofErr w:type="spellEnd"/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[OECD]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1.5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60.0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3.3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1.7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C7CE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9C0006"/>
                <w:lang w:eastAsia="cs-CZ"/>
              </w:rPr>
              <w:t>66.6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Chirurgie včetně </w:t>
            </w:r>
            <w:proofErr w:type="spellStart"/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transplantologie</w:t>
            </w:r>
            <w:proofErr w:type="spellEnd"/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49.7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C7CE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9C0006"/>
                <w:lang w:eastAsia="cs-CZ"/>
              </w:rPr>
              <w:t>49.7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Epidemiologie, infekční nemoci a klinická imunologie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43.5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5.5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C7CE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9C0006"/>
                <w:lang w:eastAsia="cs-CZ"/>
              </w:rPr>
              <w:t>49.0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Traumatologie a ortopedie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32.1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15.4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C7CE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9C0006"/>
                <w:lang w:eastAsia="cs-CZ"/>
              </w:rPr>
              <w:t>47.5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Ostatní obory vnitřního lékařství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45.5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45.5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Pediatrie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43.5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43.5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Ostatní lékařské obory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29.7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3.2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0.5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8.1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41.5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Psychiatrie, sexuologie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40.1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0.2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40.3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Lékařská zařízení, přístroje a vybavení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1.8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12.9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25.3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39.9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Medicalengineering</w:t>
            </w:r>
            <w:proofErr w:type="spellEnd"/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[OECD]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3.2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5.5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11.0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12.1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31.8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ORL, oftalmologie, stomatologie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19.3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1.8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3.5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24.7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Veřejné zdravotnictví, sociální lékařství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11.1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6.2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17.4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Healthsciences</w:t>
            </w:r>
            <w:proofErr w:type="spellEnd"/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[OECD]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7.1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6.3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0.2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13.5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Dermatovenerologie</w:t>
            </w:r>
            <w:proofErr w:type="spellEnd"/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5.9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3.8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9.7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Pneumologie</w:t>
            </w:r>
            <w:proofErr w:type="spellEnd"/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6.0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3.5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9.5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Othermedicalsciences</w:t>
            </w:r>
            <w:proofErr w:type="spellEnd"/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[OECD]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2.4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2.5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1.5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6.3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Gynekologie a porodnictví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3.5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3.5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Hygiena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2.8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0.5</w:t>
            </w: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2" w:type="pct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color w:val="000000"/>
                <w:lang w:eastAsia="cs-CZ"/>
              </w:rPr>
              <w:t>3.3</w:t>
            </w:r>
          </w:p>
        </w:tc>
      </w:tr>
      <w:tr w:rsidR="00946DC2" w:rsidRPr="00946DC2" w:rsidTr="00946DC2">
        <w:trPr>
          <w:trHeight w:val="292"/>
        </w:trPr>
        <w:tc>
          <w:tcPr>
            <w:tcW w:w="2103" w:type="pct"/>
            <w:tcBorders>
              <w:top w:val="double" w:sz="6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Celkový součet</w:t>
            </w:r>
          </w:p>
        </w:tc>
        <w:tc>
          <w:tcPr>
            <w:tcW w:w="362" w:type="pct"/>
            <w:tcBorders>
              <w:top w:val="double" w:sz="6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961.8</w:t>
            </w:r>
          </w:p>
        </w:tc>
        <w:tc>
          <w:tcPr>
            <w:tcW w:w="362" w:type="pct"/>
            <w:tcBorders>
              <w:top w:val="double" w:sz="6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296.8</w:t>
            </w:r>
          </w:p>
        </w:tc>
        <w:tc>
          <w:tcPr>
            <w:tcW w:w="362" w:type="pct"/>
            <w:tcBorders>
              <w:top w:val="double" w:sz="6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94.9</w:t>
            </w:r>
          </w:p>
        </w:tc>
        <w:tc>
          <w:tcPr>
            <w:tcW w:w="362" w:type="pct"/>
            <w:tcBorders>
              <w:top w:val="double" w:sz="6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63.3</w:t>
            </w:r>
          </w:p>
        </w:tc>
        <w:tc>
          <w:tcPr>
            <w:tcW w:w="362" w:type="pct"/>
            <w:tcBorders>
              <w:top w:val="double" w:sz="6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9.8</w:t>
            </w:r>
          </w:p>
        </w:tc>
        <w:tc>
          <w:tcPr>
            <w:tcW w:w="362" w:type="pct"/>
            <w:tcBorders>
              <w:top w:val="double" w:sz="6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0.9</w:t>
            </w:r>
          </w:p>
        </w:tc>
        <w:tc>
          <w:tcPr>
            <w:tcW w:w="362" w:type="pct"/>
            <w:tcBorders>
              <w:top w:val="double" w:sz="6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9.6</w:t>
            </w:r>
          </w:p>
        </w:tc>
        <w:tc>
          <w:tcPr>
            <w:tcW w:w="362" w:type="pct"/>
            <w:tcBorders>
              <w:top w:val="double" w:sz="6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DC2" w:rsidRPr="00946DC2" w:rsidRDefault="00946DC2" w:rsidP="00946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46DC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1 437.1</w:t>
            </w:r>
          </w:p>
        </w:tc>
      </w:tr>
    </w:tbl>
    <w:p w:rsidR="003175D4" w:rsidRPr="00946DC2" w:rsidRDefault="00946DC2" w:rsidP="005D184C">
      <w:pPr>
        <w:pStyle w:val="Zdrojapoznmka"/>
      </w:pPr>
      <w:r w:rsidRPr="00C33C04">
        <w:t xml:space="preserve">Zdroj: IS </w:t>
      </w:r>
      <w:proofErr w:type="spellStart"/>
      <w:r w:rsidRPr="00C33C04">
        <w:t>VaVaI</w:t>
      </w:r>
      <w:proofErr w:type="spellEnd"/>
      <w:r w:rsidRPr="00C33C04">
        <w:t>, export 1. 8. 2019</w:t>
      </w:r>
      <w:r>
        <w:t xml:space="preserve">; poznámka: projekty zahájené po roce 2017 mají uveden obor FORD </w:t>
      </w:r>
      <w:r w:rsidR="00BB0640">
        <w:rPr>
          <w:lang w:val="en-GB"/>
        </w:rPr>
        <w:t>[OECD]</w:t>
      </w:r>
    </w:p>
    <w:sectPr w:rsidR="003175D4" w:rsidRPr="00946DC2" w:rsidSect="005D18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F5B" w:rsidRDefault="00387F5B" w:rsidP="00E6700B">
      <w:pPr>
        <w:spacing w:after="0" w:line="240" w:lineRule="auto"/>
      </w:pPr>
      <w:r>
        <w:separator/>
      </w:r>
    </w:p>
  </w:endnote>
  <w:endnote w:type="continuationSeparator" w:id="0">
    <w:p w:rsidR="00387F5B" w:rsidRDefault="00387F5B" w:rsidP="00E67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F5B" w:rsidRDefault="00387F5B" w:rsidP="00E6700B">
      <w:pPr>
        <w:spacing w:after="0" w:line="240" w:lineRule="auto"/>
      </w:pPr>
      <w:r>
        <w:separator/>
      </w:r>
    </w:p>
  </w:footnote>
  <w:footnote w:type="continuationSeparator" w:id="0">
    <w:p w:rsidR="00387F5B" w:rsidRDefault="00387F5B" w:rsidP="00E670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177DB"/>
    <w:multiLevelType w:val="hybridMultilevel"/>
    <w:tmpl w:val="C11A89A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07E0199"/>
    <w:multiLevelType w:val="hybridMultilevel"/>
    <w:tmpl w:val="F3DCC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E7"/>
    <w:rsid w:val="000B6531"/>
    <w:rsid w:val="001C09EC"/>
    <w:rsid w:val="002433E7"/>
    <w:rsid w:val="00292AA2"/>
    <w:rsid w:val="002D76F9"/>
    <w:rsid w:val="003175D4"/>
    <w:rsid w:val="00387F5B"/>
    <w:rsid w:val="004E51C4"/>
    <w:rsid w:val="00512D6D"/>
    <w:rsid w:val="005D184C"/>
    <w:rsid w:val="005F1543"/>
    <w:rsid w:val="00605B92"/>
    <w:rsid w:val="00621E00"/>
    <w:rsid w:val="006A3135"/>
    <w:rsid w:val="007018C2"/>
    <w:rsid w:val="007C1E5B"/>
    <w:rsid w:val="00830B00"/>
    <w:rsid w:val="0084445A"/>
    <w:rsid w:val="00846146"/>
    <w:rsid w:val="00933144"/>
    <w:rsid w:val="00946DC2"/>
    <w:rsid w:val="009672AC"/>
    <w:rsid w:val="009A1345"/>
    <w:rsid w:val="00AC030D"/>
    <w:rsid w:val="00BB0640"/>
    <w:rsid w:val="00CC2316"/>
    <w:rsid w:val="00D67100"/>
    <w:rsid w:val="00DF6024"/>
    <w:rsid w:val="00DF6446"/>
    <w:rsid w:val="00E6700B"/>
    <w:rsid w:val="00E83D5A"/>
    <w:rsid w:val="00F203F7"/>
    <w:rsid w:val="00F70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444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444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84445A"/>
    <w:pPr>
      <w:ind w:left="720"/>
      <w:contextualSpacing/>
    </w:pPr>
  </w:style>
  <w:style w:type="paragraph" w:customStyle="1" w:styleId="Obrzek-nadpis">
    <w:name w:val="Obrázek - nadpis"/>
    <w:basedOn w:val="Normln"/>
    <w:qFormat/>
    <w:rsid w:val="009A1345"/>
    <w:pPr>
      <w:keepNext/>
      <w:spacing w:before="120" w:after="240" w:line="240" w:lineRule="auto"/>
      <w:jc w:val="both"/>
    </w:pPr>
    <w:rPr>
      <w:rFonts w:ascii="Arial" w:eastAsia="Times New Roman" w:hAnsi="Arial" w:cs="Times New Roman"/>
      <w:b/>
      <w:szCs w:val="24"/>
      <w:lang w:eastAsia="cs-CZ"/>
    </w:rPr>
  </w:style>
  <w:style w:type="paragraph" w:customStyle="1" w:styleId="Obrzek">
    <w:name w:val="Obrázek"/>
    <w:basedOn w:val="Normln"/>
    <w:qFormat/>
    <w:rsid w:val="009A1345"/>
    <w:pPr>
      <w:keepNext/>
      <w:spacing w:before="120" w:after="240" w:line="240" w:lineRule="auto"/>
      <w:jc w:val="center"/>
    </w:pPr>
    <w:rPr>
      <w:rFonts w:ascii="Arial" w:eastAsia="Times New Roman" w:hAnsi="Arial" w:cs="Times New Roman"/>
      <w:szCs w:val="24"/>
      <w:lang w:eastAsia="cs-CZ"/>
    </w:rPr>
  </w:style>
  <w:style w:type="paragraph" w:customStyle="1" w:styleId="Zdrojapoznmka">
    <w:name w:val="Zdroj a poznámka"/>
    <w:basedOn w:val="Normln"/>
    <w:qFormat/>
    <w:rsid w:val="009A1345"/>
    <w:pPr>
      <w:spacing w:before="120" w:after="240" w:line="288" w:lineRule="auto"/>
      <w:contextualSpacing/>
      <w:jc w:val="both"/>
    </w:pPr>
    <w:rPr>
      <w:rFonts w:ascii="Arial" w:eastAsia="Times New Roman" w:hAnsi="Arial" w:cs="Times New Roman"/>
      <w:i/>
      <w:sz w:val="18"/>
      <w:szCs w:val="24"/>
      <w:lang w:eastAsia="cs-CZ"/>
    </w:rPr>
  </w:style>
  <w:style w:type="table" w:customStyle="1" w:styleId="Tabulkasmkou4zvraznn31">
    <w:name w:val="Tabulka s mřížkou 4 – zvýraznění 31"/>
    <w:basedOn w:val="Normlntabulka"/>
    <w:uiPriority w:val="49"/>
    <w:rsid w:val="002D76F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E67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700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67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700B"/>
  </w:style>
  <w:style w:type="paragraph" w:styleId="Zpat">
    <w:name w:val="footer"/>
    <w:basedOn w:val="Normln"/>
    <w:link w:val="ZpatChar"/>
    <w:uiPriority w:val="99"/>
    <w:unhideWhenUsed/>
    <w:rsid w:val="00E67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70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444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444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84445A"/>
    <w:pPr>
      <w:ind w:left="720"/>
      <w:contextualSpacing/>
    </w:pPr>
  </w:style>
  <w:style w:type="paragraph" w:customStyle="1" w:styleId="Obrzek-nadpis">
    <w:name w:val="Obrázek - nadpis"/>
    <w:basedOn w:val="Normln"/>
    <w:qFormat/>
    <w:rsid w:val="009A1345"/>
    <w:pPr>
      <w:keepNext/>
      <w:spacing w:before="120" w:after="240" w:line="240" w:lineRule="auto"/>
      <w:jc w:val="both"/>
    </w:pPr>
    <w:rPr>
      <w:rFonts w:ascii="Arial" w:eastAsia="Times New Roman" w:hAnsi="Arial" w:cs="Times New Roman"/>
      <w:b/>
      <w:szCs w:val="24"/>
      <w:lang w:eastAsia="cs-CZ"/>
    </w:rPr>
  </w:style>
  <w:style w:type="paragraph" w:customStyle="1" w:styleId="Obrzek">
    <w:name w:val="Obrázek"/>
    <w:basedOn w:val="Normln"/>
    <w:qFormat/>
    <w:rsid w:val="009A1345"/>
    <w:pPr>
      <w:keepNext/>
      <w:spacing w:before="120" w:after="240" w:line="240" w:lineRule="auto"/>
      <w:jc w:val="center"/>
    </w:pPr>
    <w:rPr>
      <w:rFonts w:ascii="Arial" w:eastAsia="Times New Roman" w:hAnsi="Arial" w:cs="Times New Roman"/>
      <w:szCs w:val="24"/>
      <w:lang w:eastAsia="cs-CZ"/>
    </w:rPr>
  </w:style>
  <w:style w:type="paragraph" w:customStyle="1" w:styleId="Zdrojapoznmka">
    <w:name w:val="Zdroj a poznámka"/>
    <w:basedOn w:val="Normln"/>
    <w:qFormat/>
    <w:rsid w:val="009A1345"/>
    <w:pPr>
      <w:spacing w:before="120" w:after="240" w:line="288" w:lineRule="auto"/>
      <w:contextualSpacing/>
      <w:jc w:val="both"/>
    </w:pPr>
    <w:rPr>
      <w:rFonts w:ascii="Arial" w:eastAsia="Times New Roman" w:hAnsi="Arial" w:cs="Times New Roman"/>
      <w:i/>
      <w:sz w:val="18"/>
      <w:szCs w:val="24"/>
      <w:lang w:eastAsia="cs-CZ"/>
    </w:rPr>
  </w:style>
  <w:style w:type="table" w:customStyle="1" w:styleId="Tabulkasmkou4zvraznn31">
    <w:name w:val="Tabulka s mřížkou 4 – zvýraznění 31"/>
    <w:basedOn w:val="Normlntabulka"/>
    <w:uiPriority w:val="49"/>
    <w:rsid w:val="002D76F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E67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700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67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700B"/>
  </w:style>
  <w:style w:type="paragraph" w:styleId="Zpat">
    <w:name w:val="footer"/>
    <w:basedOn w:val="Normln"/>
    <w:link w:val="ZpatChar"/>
    <w:uiPriority w:val="99"/>
    <w:unhideWhenUsed/>
    <w:rsid w:val="00E67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7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30B68-1EAD-4D15-A44A-F0FD53537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954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Špičková Hana</cp:lastModifiedBy>
  <cp:revision>2</cp:revision>
  <dcterms:created xsi:type="dcterms:W3CDTF">2020-07-08T11:53:00Z</dcterms:created>
  <dcterms:modified xsi:type="dcterms:W3CDTF">2020-07-08T11:53:00Z</dcterms:modified>
</cp:coreProperties>
</file>